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96" w:rsidRDefault="00100D96" w:rsidP="00100D96">
      <w:pPr>
        <w:pStyle w:val="a3"/>
        <w:shd w:val="clear" w:color="auto" w:fill="F1F6FB"/>
        <w:spacing w:before="0" w:beforeAutospacing="0" w:line="420" w:lineRule="atLeast"/>
        <w:jc w:val="both"/>
        <w:rPr>
          <w:rFonts w:ascii="Arial" w:hAnsi="Arial" w:cs="Arial"/>
          <w:sz w:val="27"/>
          <w:szCs w:val="27"/>
        </w:rPr>
      </w:pPr>
      <w:r>
        <w:rPr>
          <w:rFonts w:ascii="Arial" w:hAnsi="Arial" w:cs="Arial"/>
          <w:sz w:val="27"/>
          <w:szCs w:val="27"/>
        </w:rPr>
        <w:t>Пенсионер - лицо, получающее ежемесячную денежную выплату (пенсию), в частности, в целях компенсации заработной платы и иных выплат и вознаграждений, утраченных в связи с наступлением нетрудоспособности вследствие старости или инвалидности.</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1. Компенсация расходов на оплату стоимости проезда к месту отдыха на территории РФ и обратно</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Компенсация предоставляется неработающим пенсионерам, которые:</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 получают страховую пенсию по старости или по инвалидности и • проживают в районах Крайнего Севера и приравненных к ним местностях.</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Ее предоставляет раз в два года территориальный орган ПФР (далее - ТО ПФР) в виде проездных билетов или возмещения фактически понесенных расходов.</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Для получения компенсации пенсионеру (его представителю) нужно обратиться с заявлением и необходимыми документами в ТО ПФР непосредственно (лично, в том числе при выездном приеме, через представителя), по почте, через МФЦ либо в электронной форме через Единый портал госуслуг или личный кабинет на сайте ПФР.</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Обратите внимание! В 2020 г. предоставление услуг органами ПФР и МФЦ, в том числе в части их перечня и организации приема граждан, может быть ограничено. Порядок работы рекомендуем предварительно уточнить.</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2. Перенос остатка имущественных вычетов по НДФЛ на предыдущие налоговые периоды</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 xml:space="preserve">Пенсионер, подтвердивший право собственности на построенный или приобретенный на территории РФ жилой дом, квартиру, комнату, долю (доли) в них, на земельный участок, предоставленный для индивидуального жилищного строительства, земельный участок, на котором расположен приобретаемый жилой дом, или долю в них, вправе получить имущественные вычеты в размере произведенных расходов на </w:t>
      </w:r>
      <w:r>
        <w:rPr>
          <w:rFonts w:ascii="Arial" w:hAnsi="Arial" w:cs="Arial"/>
          <w:sz w:val="27"/>
          <w:szCs w:val="27"/>
        </w:rPr>
        <w:lastRenderedPageBreak/>
        <w:t>приобретение (строительство) указанной недвижимости и на уплату процентов по соответствующим целевым займам (кредитам) за три налоговых периода, предшествующие периоду, в котором образовался переносимый остаток имущественных вычетов.</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Размер имущественного вычета по расходам на приобретение (строительство) жилья, а также земельных участков под жилье и вычета по расходам на уплату процентов по целевому займу (кредиту), предоставленному для их приобретения (строительства), не может превышать соответственно 2 млн руб. и 3 млн руб.</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Обратите внимание! Указанная предельная сумма имущественного вычета в 3 млн руб. применяется в отношении целевых займов (кредитов), полученных с 01.01.2014 года.</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3. Освобождение от уплаты налога на имущество</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Пенсионер, получающий пенсию на основании законодательства РФ или другого государства, освобождается от уплаты налога на имущество, если имеет в собственности: • жилой дом, часть жилого дома; • квартиру, часть квартиры, комнату; • гараж или машино-место; • помещения, используемые в качестве творческих мастерских, ателье, студий, негосударственных музеев, галерей, библиотек; • хозяйственные строения, площадь которых не превышает 50 кв. м и которые расположены на земельных участках для ведения личного подсобного хозяйства, огородничества, садоводства или ИЖС.</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Льгота предоставляется в отношении одного объекта налогообложения каждого вида. Если, например, у пенсионера в собственности имеется квартира, дом и гараж, он освобождается в полном объеме от уплаты налога на имущество. А если пенсионер имеет три квартиры и дом, то он имеет право на льготу при уплате налога за дом, а также только за одну из квартир.</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lastRenderedPageBreak/>
        <w:t>Для применения льготы пенсионер может не представлять заявление в налоговый орган, льгота будет ему предоставлена на основании имеющихся у налогового органа сведений.</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Вместе с тем пенсионер не лишен права представить заявление о предоставлении льготы непосредственно в любой налоговый орган, через МФЦ (при наличии соответствующего соглашения между МФЦ и налоговым органом) или через сервис 'Личный кабинет налогоплательщика'. По желанию к заявлению можно приложить документы, подтверждающие право на льготу, а также содержащие сведения о виде, разрешенном использовании недвижимости.</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В общем случае налоговый орган рассматривает заявление в течение 30 дней со дня его получения и затем направляет налогоплательщику уведомление о предоставлении налоговой льготы либо сообщение об отказе в ее предоставлении.</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Обратите внимание! Если вам по состоянию на 31.12.2018 уже была предоставлена льгота по налогу на имущество, вы вправе не представлять повторно в налоговый орган заявление.</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В целях применения льготы по налогу на имущество с 01.01.2019 к пенсионерам приравниваются лица, которые соответствовали условиям для назначения пенсии по законодательству РФ на 31.12.2018. В общем случае это мужчины и женщины, достигшие возраста 60 и 55 лет соответственно, если они не относятся к категории лиц, претендующих на досрочное назначение страховой пенсии по старости, или не являются государственными служащим.</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4. Налоговый вычет по земельному налогу</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 xml:space="preserve">Начиная с 2017 г. пенсионеры, получающие назначенные в установленном порядке пенсии, имеют право на уменьшение налоговой базы по земельному налогу на величину кадастровой стоимости 600 кв. м площади одного земельного участка, находящегося в их собственности, </w:t>
      </w:r>
      <w:r>
        <w:rPr>
          <w:rFonts w:ascii="Arial" w:hAnsi="Arial" w:cs="Arial"/>
          <w:sz w:val="27"/>
          <w:szCs w:val="27"/>
        </w:rPr>
        <w:lastRenderedPageBreak/>
        <w:t>постоянном (бессрочном) пользовании или пожизненном наследуемом владении.</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По общему правилу, чтобы воспользоваться данным налоговым вычетом, представляется заявление о предоставлении льготы в любой налоговый орган, МФЦ или через сервис 'Личный кабинет налогоплательщика'. Вместе с тем пенсионеры могут не подавать такое заявление, вычет им предоставляется на основании имеющихся у налогового органа сведений.</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Обычно налоговый орган рассматривает заявление в течение 30 дней со дня его получения и затем направляет налогоплательщику уведомление о предоставлении налоговой льготы либо сообщение об отказе в ее предоставлении.</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Следует отметить, что льготы по уплате земельного налога, включая установление величины налогового вычета, для пенсионеров могут быть установлены местным законодательством.</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В целях применения льготы по земельному налогу с 01.01.2019 к пенсионерам приравниваются лица, которые соответствовали условиям для назначения пенсии по законодательству РФ на 31.12.2018, то есть мужчины и женщины, достигшие возраста 60 и 55 лет соответственно, если они не относятся к категории лиц, претендующих на досрочное назначение страховой пенсии по старости, или не являются государственными служащим.</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5. Освобождение части доходов от налогообложения</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Не облагаются НДФЛ получаемые пенсионером: • пенсии по государственному пенсионному обеспечению, страховые пенсии, фиксированная выплата к страховой пенсии (с учетом ее повышения), накопительная пенсия, законодательно установленные социальные доплаты к пенсиям; • суммы оплаты за счет средств работодателя стоимости санаторно-курортных путевок (кроме туристских) бывшим работникам, уволившимся в связи с выходом на пенсию по инвалидности или по старости, если услуги по путевке оказываются санаторно-</w:t>
      </w:r>
      <w:r>
        <w:rPr>
          <w:rFonts w:ascii="Arial" w:hAnsi="Arial" w:cs="Arial"/>
          <w:sz w:val="27"/>
          <w:szCs w:val="27"/>
        </w:rPr>
        <w:lastRenderedPageBreak/>
        <w:t>курортными и оздоровительными организациями на территории РФ и расходы по их оплате не учитываются работодателем по налогу на прибыль или работодатель применяет спецрежим; • суммы оплаты за счет средств работодателя, оставшихся после уплаты налога на прибыль, стоимости лечения и медобслуживания бывшим работникам, уволившимся в связи с выходом на пенсию по инвалидности или по старости; • подарки от организаций и индивидуальных предпринимателей, а также материальная помощь, оказываемая работодателями своим бывшим работникам, уволившимся в связи с выходом на пенсию по инвалидности или по возрасту, суммы оплаты (возмещения) работодателями стоимости лекарственных препаратов бывшим своим работникам (пенсионерам по возрасту). По каждому из этих оснований размер не облагаемого налогом дохода составляет не более 4 000 руб. за календарный год.</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6. Гарантии при осуществлении трудовой деятельности</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Работодатель обязан по заявлению работника предоставить отпуск без сохранения заработной платы следующим категориям пенсионеров (ст. 128 ТК РФ): • участникам Великой Отечественной войны - до 35 календарных дней в году; • работающим пенсионерам по старости (по возрасту) - до 14 календарных дней в году; • работающим пенсионерам - инвалидам - до 60 календарных дней в году.</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Другие случаи предоставления отпуска за свой счет устанавливают иные федеральные законы либо коллективный договор.</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Работники, являющиеся получателями пенсии по старости или за выслугу лет, а также не достигшие возраста, дающего право на назначение пенсии по старости (в том числе досрочно), в течение пяти лет до наступления такого возраста при прохождении диспансеризации имеют право на освобождение от работы на два рабочих дня раз в год с сохранением за ними места работы (должности) и среднего заработка (ст. 185.1 ТК РФ).</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t>7. Бесплатная юридическая помощь</w:t>
      </w:r>
    </w:p>
    <w:p w:rsidR="00100D96" w:rsidRDefault="00100D96" w:rsidP="00100D96">
      <w:pPr>
        <w:pStyle w:val="a3"/>
        <w:shd w:val="clear" w:color="auto" w:fill="F1F6FB"/>
        <w:spacing w:line="420" w:lineRule="atLeast"/>
        <w:jc w:val="both"/>
        <w:rPr>
          <w:rFonts w:ascii="Arial" w:hAnsi="Arial" w:cs="Arial"/>
          <w:sz w:val="27"/>
          <w:szCs w:val="27"/>
        </w:rPr>
      </w:pPr>
      <w:r>
        <w:rPr>
          <w:rFonts w:ascii="Arial" w:hAnsi="Arial" w:cs="Arial"/>
          <w:sz w:val="27"/>
          <w:szCs w:val="27"/>
        </w:rPr>
        <w:lastRenderedPageBreak/>
        <w:t>Право на получение всех видов бесплатной юридической помощи (в том числе представления интересов гражданина в судах) имеют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C27493" w:rsidRDefault="00100D96">
      <w:bookmarkStart w:id="0" w:name="_GoBack"/>
      <w:bookmarkEnd w:id="0"/>
    </w:p>
    <w:sectPr w:rsidR="00C27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B9"/>
    <w:rsid w:val="00100D96"/>
    <w:rsid w:val="00340B3D"/>
    <w:rsid w:val="00571B22"/>
    <w:rsid w:val="00CA7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FFE25-FE92-4CDA-9069-F489487B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D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cp:revision>
  <dcterms:created xsi:type="dcterms:W3CDTF">2025-03-10T08:16:00Z</dcterms:created>
  <dcterms:modified xsi:type="dcterms:W3CDTF">2025-03-10T08:16:00Z</dcterms:modified>
</cp:coreProperties>
</file>